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CC3F" w14:textId="4F99B3C2" w:rsidR="000A6824" w:rsidRDefault="000A6824" w:rsidP="000A6824">
      <w:pPr>
        <w:ind w:right="-33"/>
        <w:jc w:val="left"/>
        <w:rPr>
          <w:b/>
          <w:bCs/>
        </w:rPr>
      </w:pPr>
      <w:r>
        <w:rPr>
          <w:b/>
          <w:bCs/>
        </w:rPr>
        <w:t xml:space="preserve">Lisa 1. Detailplaneeringut täpsustavad projekteerimistingimused </w:t>
      </w:r>
      <w:r w:rsidR="00F50C79">
        <w:rPr>
          <w:b/>
          <w:bCs/>
        </w:rPr>
        <w:t xml:space="preserve">üksikelamu </w:t>
      </w:r>
      <w:r w:rsidR="00764614">
        <w:rPr>
          <w:b/>
          <w:bCs/>
        </w:rPr>
        <w:t xml:space="preserve"> </w:t>
      </w:r>
      <w:r w:rsidR="00F50C79">
        <w:rPr>
          <w:b/>
          <w:bCs/>
        </w:rPr>
        <w:t xml:space="preserve">püstitamiseks ehitusprojekti koostamisel </w:t>
      </w:r>
      <w:r>
        <w:rPr>
          <w:b/>
          <w:bCs/>
        </w:rPr>
        <w:t>hoone</w:t>
      </w:r>
      <w:r w:rsidR="0037446E">
        <w:rPr>
          <w:b/>
          <w:bCs/>
        </w:rPr>
        <w:t xml:space="preserve"> kõrguse muutmiseks </w:t>
      </w:r>
      <w:r>
        <w:rPr>
          <w:b/>
          <w:bCs/>
        </w:rPr>
        <w:t xml:space="preserve">aadressil </w:t>
      </w:r>
      <w:r w:rsidR="006C7F07">
        <w:rPr>
          <w:b/>
          <w:bCs/>
        </w:rPr>
        <w:t>Meriküla</w:t>
      </w:r>
      <w:r w:rsidR="00ED5086">
        <w:rPr>
          <w:b/>
          <w:bCs/>
        </w:rPr>
        <w:t xml:space="preserve"> küla, </w:t>
      </w:r>
      <w:r w:rsidR="001A5568">
        <w:rPr>
          <w:b/>
          <w:bCs/>
        </w:rPr>
        <w:t>T</w:t>
      </w:r>
      <w:r w:rsidR="004106A2">
        <w:rPr>
          <w:b/>
          <w:bCs/>
        </w:rPr>
        <w:t>ilgu tee 31</w:t>
      </w:r>
    </w:p>
    <w:p w14:paraId="4DAD934F" w14:textId="77777777" w:rsidR="000A6824" w:rsidRDefault="000A6824" w:rsidP="000A6824">
      <w:pPr>
        <w:ind w:right="-33"/>
        <w:rPr>
          <w:u w:val="single"/>
        </w:rPr>
      </w:pPr>
    </w:p>
    <w:p w14:paraId="1FC08729" w14:textId="77777777" w:rsidR="00A61B75" w:rsidRPr="00954663" w:rsidRDefault="00A61B75" w:rsidP="00A61B75">
      <w:pPr>
        <w:ind w:right="-33"/>
        <w:rPr>
          <w:u w:val="single"/>
        </w:rPr>
      </w:pPr>
      <w:r w:rsidRPr="00954663">
        <w:rPr>
          <w:u w:val="single"/>
        </w:rPr>
        <w:t>Ehitusõigus ja arhitektuursed-ehituslikud tingimused:</w:t>
      </w:r>
    </w:p>
    <w:p w14:paraId="380DE16C" w14:textId="3B74C0D0" w:rsidR="00A61B75" w:rsidRDefault="00A61B75" w:rsidP="00A61B75">
      <w:pPr>
        <w:numPr>
          <w:ilvl w:val="0"/>
          <w:numId w:val="7"/>
        </w:numPr>
        <w:rPr>
          <w:u w:val="single"/>
        </w:rPr>
      </w:pPr>
      <w:r w:rsidRPr="00954663">
        <w:rPr>
          <w:u w:val="single"/>
        </w:rPr>
        <w:t>Ehitusõigus: lähtuda kehtivast detailplaneeringust, võttes arvesse käesolevast korraldusest tulenevaid täpsustusi.</w:t>
      </w:r>
    </w:p>
    <w:p w14:paraId="6D5D3D24" w14:textId="4BC7BF11" w:rsidR="00376365" w:rsidRDefault="00376365" w:rsidP="00376365">
      <w:pPr>
        <w:numPr>
          <w:ilvl w:val="0"/>
          <w:numId w:val="7"/>
        </w:numPr>
        <w:jc w:val="left"/>
      </w:pPr>
      <w:r>
        <w:t>Ehitise lubatud suurim kõrgus: maapinnast 8,0m</w:t>
      </w:r>
    </w:p>
    <w:p w14:paraId="4928B3C5" w14:textId="61B992EA" w:rsidR="004D56B0" w:rsidRPr="004D56B0" w:rsidRDefault="00A61B75" w:rsidP="002C0BED">
      <w:pPr>
        <w:pStyle w:val="ListParagraph"/>
        <w:numPr>
          <w:ilvl w:val="0"/>
          <w:numId w:val="7"/>
        </w:numPr>
        <w:suppressAutoHyphens/>
        <w:autoSpaceDN w:val="0"/>
        <w:textAlignment w:val="baseline"/>
        <w:rPr>
          <w:u w:val="single"/>
        </w:rPr>
      </w:pPr>
      <w:r w:rsidRPr="00106284">
        <w:t>Projekteerimisel lähtuda siseministri 30. märtsi 2017 määrusest nr 17 „Ehitisele esitatavad tuleohutusnõuded”</w:t>
      </w:r>
      <w:r w:rsidRPr="00CE235D">
        <w:t xml:space="preserve"> </w:t>
      </w:r>
      <w:r w:rsidRPr="00954663">
        <w:t xml:space="preserve">ja </w:t>
      </w:r>
      <w:r w:rsidR="00726CE4" w:rsidRPr="00F5361F">
        <w:rPr>
          <w:szCs w:val="24"/>
        </w:rPr>
        <w:t>Eesti standardist EVS 812-7:2018 Ehitiste tuleohutus. Osa 7: „Ehitistele esitatavad tuleohutusnõuded“.</w:t>
      </w:r>
    </w:p>
    <w:p w14:paraId="4DA1BF2F" w14:textId="6F6D24C6" w:rsidR="00A61B75" w:rsidRPr="00954663" w:rsidRDefault="00726CE4" w:rsidP="004D56B0">
      <w:pPr>
        <w:pStyle w:val="ListParagraph"/>
        <w:suppressAutoHyphens/>
        <w:autoSpaceDN w:val="0"/>
        <w:ind w:left="360"/>
        <w:textAlignment w:val="baseline"/>
        <w:rPr>
          <w:u w:val="single"/>
        </w:rPr>
      </w:pPr>
      <w:r w:rsidRPr="00F5361F">
        <w:rPr>
          <w:szCs w:val="24"/>
        </w:rPr>
        <w:t xml:space="preserve"> </w:t>
      </w:r>
    </w:p>
    <w:p w14:paraId="513048A9" w14:textId="77777777" w:rsidR="00A61B75" w:rsidRPr="00954663" w:rsidRDefault="00A61B75" w:rsidP="00A61B75">
      <w:pPr>
        <w:pStyle w:val="NoSpacing"/>
        <w:rPr>
          <w:u w:val="single"/>
          <w:lang w:val="et-EE"/>
        </w:rPr>
      </w:pPr>
      <w:r w:rsidRPr="00954663">
        <w:rPr>
          <w:u w:val="single"/>
          <w:lang w:val="et-EE"/>
        </w:rPr>
        <w:t>Keskkonnaalased ja tehnovarustuse nõuded:</w:t>
      </w:r>
    </w:p>
    <w:p w14:paraId="457FFE9A" w14:textId="77777777" w:rsidR="00A973B9" w:rsidRDefault="00A973B9" w:rsidP="00A973B9">
      <w:pPr>
        <w:pStyle w:val="ListParagraph"/>
        <w:numPr>
          <w:ilvl w:val="0"/>
          <w:numId w:val="21"/>
        </w:numPr>
        <w:spacing w:line="254" w:lineRule="auto"/>
        <w:rPr>
          <w:szCs w:val="24"/>
        </w:rPr>
      </w:pPr>
      <w:r>
        <w:rPr>
          <w:szCs w:val="24"/>
        </w:rPr>
        <w:t xml:space="preserve">Veevarustus ja kanalisatsioon (sh sademe- ja liigvesi): veevarustus ja kanalisatsioon lahendada lokaalselt kuni vee- ja kanalisatsioonitrasside väljaehitamiseni. Kui veevarustus saadakse olemasolevast puurkaevust, </w:t>
      </w:r>
      <w:bookmarkStart w:id="0" w:name="_Hlk491173734"/>
      <w:r>
        <w:rPr>
          <w:szCs w:val="24"/>
        </w:rPr>
        <w:t xml:space="preserve">esitada projekti vahel puurkaevu õiguslikku alust tõendavad andmed (puurkaevu passi koopia, viide puurkaevu keskkonnaregistri andmetele). </w:t>
      </w:r>
      <w:bookmarkEnd w:id="0"/>
      <w:r>
        <w:rPr>
          <w:szCs w:val="24"/>
        </w:rPr>
        <w:t>Reovee juhtimine kogumismahutisse (min mahtuvusega 8 m³) või puhastamine omapuhastis on lubatud ajutise lahendusena kuni piirkonna kanalisatsioonitrasside väljaehitamiseni.</w:t>
      </w:r>
    </w:p>
    <w:p w14:paraId="5A574684" w14:textId="77777777" w:rsidR="00A973B9" w:rsidRDefault="00A973B9" w:rsidP="00A973B9">
      <w:pPr>
        <w:suppressAutoHyphens/>
        <w:autoSpaceDN w:val="0"/>
        <w:ind w:firstLine="360"/>
        <w:rPr>
          <w:szCs w:val="24"/>
        </w:rPr>
      </w:pPr>
      <w:r>
        <w:rPr>
          <w:szCs w:val="24"/>
        </w:rPr>
        <w:t xml:space="preserve">Trasside valmimisel on nendega liitumine kohustuslik. </w:t>
      </w:r>
    </w:p>
    <w:p w14:paraId="24F00432" w14:textId="77777777" w:rsidR="001A5568" w:rsidRPr="00E27149" w:rsidRDefault="001A5568" w:rsidP="001A5568">
      <w:pPr>
        <w:pStyle w:val="ListParagraph"/>
        <w:ind w:left="390"/>
        <w:rPr>
          <w:highlight w:val="yellow"/>
        </w:rPr>
      </w:pPr>
      <w:r>
        <w:t xml:space="preserve">Välise tuletõrje veevarustuse tagamisel ehitistele lähtuda „Tuleohutuse seadus“ </w:t>
      </w:r>
      <w:r>
        <w:rPr>
          <w:szCs w:val="24"/>
        </w:rPr>
        <w:t>§ 23 ja 24</w:t>
      </w:r>
      <w:r>
        <w:t xml:space="preserve"> nõuetest ja Eesti standardist EVS 812-6:2012 “Tuletõrje veevarustus”.</w:t>
      </w:r>
    </w:p>
    <w:p w14:paraId="26DDBDB2" w14:textId="3A9D6381" w:rsidR="001A5568" w:rsidRPr="00954663" w:rsidRDefault="001A5568" w:rsidP="00A973B9">
      <w:pPr>
        <w:pStyle w:val="ListParagraph"/>
        <w:numPr>
          <w:ilvl w:val="0"/>
          <w:numId w:val="21"/>
        </w:numPr>
      </w:pPr>
      <w:r w:rsidRPr="00954663">
        <w:t>Vertikaalplaneerimine, sadeveed ja drenaaž: lahendada katastriüksuse piires.</w:t>
      </w:r>
    </w:p>
    <w:p w14:paraId="7A36946C" w14:textId="77777777" w:rsidR="00A61B75" w:rsidRPr="00954663" w:rsidRDefault="00A61B75" w:rsidP="00A973B9">
      <w:pPr>
        <w:numPr>
          <w:ilvl w:val="0"/>
          <w:numId w:val="21"/>
        </w:numPr>
        <w:rPr>
          <w:u w:val="single"/>
        </w:rPr>
      </w:pPr>
      <w:r w:rsidRPr="00954663">
        <w:t>Heakord ja jäätmed: lahendada olmejäätmekonteineri(te) asukoht ja jäätmekäitlus.</w:t>
      </w:r>
    </w:p>
    <w:p w14:paraId="4D9223EA" w14:textId="77777777" w:rsidR="00A61B75" w:rsidRDefault="00A61B75" w:rsidP="00A61B75">
      <w:pPr>
        <w:pStyle w:val="ListParagraph"/>
        <w:suppressAutoHyphens/>
        <w:autoSpaceDN w:val="0"/>
        <w:ind w:left="390"/>
        <w:contextualSpacing w:val="0"/>
      </w:pPr>
    </w:p>
    <w:p w14:paraId="4A296300" w14:textId="77777777" w:rsidR="00A61B75" w:rsidRPr="00954663" w:rsidRDefault="00A61B75" w:rsidP="00A61B75">
      <w:pPr>
        <w:rPr>
          <w:u w:val="single"/>
        </w:rPr>
      </w:pPr>
      <w:r w:rsidRPr="00954663">
        <w:rPr>
          <w:u w:val="single"/>
        </w:rPr>
        <w:t>Nõuded projektide koostamiseks:</w:t>
      </w:r>
    </w:p>
    <w:p w14:paraId="501445F4" w14:textId="0DBF5F14" w:rsidR="001A5568" w:rsidRPr="005E6541" w:rsidRDefault="001A5568" w:rsidP="001A5568">
      <w:pPr>
        <w:numPr>
          <w:ilvl w:val="0"/>
          <w:numId w:val="12"/>
        </w:numPr>
        <w:suppressAutoHyphens/>
        <w:autoSpaceDN w:val="0"/>
        <w:spacing w:after="33" w:line="244" w:lineRule="auto"/>
        <w:ind w:right="51"/>
        <w:textAlignment w:val="baseline"/>
      </w:pPr>
      <w:r w:rsidRPr="005E6541">
        <w:t>Asendiplaan esitada M 1:500 koos maapealsete ja maa-aluste tehnovõrkude, maakasutuse piiride, geodeetilise põhivõrgu punktide ja haljastusega ajakohasel topo-geodeetilisel alusplaanil.</w:t>
      </w:r>
    </w:p>
    <w:p w14:paraId="34CC75F0" w14:textId="77777777" w:rsidR="001A5568" w:rsidRPr="005E6541" w:rsidRDefault="001A5568" w:rsidP="001A5568">
      <w:pPr>
        <w:numPr>
          <w:ilvl w:val="0"/>
          <w:numId w:val="9"/>
        </w:numPr>
        <w:suppressAutoHyphens/>
        <w:autoSpaceDN w:val="0"/>
        <w:textAlignment w:val="baseline"/>
      </w:pPr>
      <w:r w:rsidRPr="005E6541">
        <w:t>Ehitusprojekti koostamisel tuleb lähtuda kõikidest Eesti Vabariigis kehtivatest õigusaktidest, standarditest (EVS) ja normidest (EPN).</w:t>
      </w:r>
    </w:p>
    <w:p w14:paraId="22D538ED" w14:textId="77777777" w:rsidR="001A5568" w:rsidRPr="005E6541" w:rsidRDefault="001A5568" w:rsidP="001A5568">
      <w:pPr>
        <w:ind w:left="360"/>
      </w:pPr>
      <w:r w:rsidRPr="005E6541">
        <w:t>Ehitisele, ehitamisele ja ehitusprojektile esitatavad nõuded on sätestatud 1. juulist 2015 jõustunud ehitusseadustikus.</w:t>
      </w:r>
    </w:p>
    <w:p w14:paraId="68F5B389" w14:textId="77777777" w:rsidR="001A5568" w:rsidRDefault="001A5568" w:rsidP="001A5568">
      <w:pPr>
        <w:pStyle w:val="ListParagraph"/>
        <w:numPr>
          <w:ilvl w:val="0"/>
          <w:numId w:val="9"/>
        </w:numPr>
        <w:suppressAutoHyphens/>
        <w:autoSpaceDN w:val="0"/>
        <w:textAlignment w:val="baseline"/>
      </w:pPr>
      <w:r>
        <w:t>Ehitusprojekt peab vastama majandus- ja taristuministri 17. juuli 2015 määrusele nr 97 “Nõuded ehitusprojektile¹”, majandus- ja taristuministri 02.07.2015. a määrusele nr 85 “Eluruumile esitatavad nõuded”, Eesti standardile EVS 932:2017 „Ehitusprojekt“ ja majandus- ja taristuministri 5. juuni 2015 määrusele nr 57 “Ehitise tehniliste andmete loetelu ja arvestamise alused”, ettevõtlus- ja infotehnoloogiaministri 11.12.2018. a määrusele nr 63 „Hoone energiatõhususe miinimumnõuded”</w:t>
      </w:r>
    </w:p>
    <w:p w14:paraId="34F58E00" w14:textId="2BAC2939" w:rsidR="001A5568" w:rsidRDefault="001A5568" w:rsidP="001A5568">
      <w:pPr>
        <w:pStyle w:val="ListParagraph"/>
        <w:numPr>
          <w:ilvl w:val="0"/>
          <w:numId w:val="9"/>
        </w:numPr>
        <w:suppressAutoHyphens/>
        <w:autoSpaceDN w:val="0"/>
        <w:textAlignment w:val="baseline"/>
      </w:pPr>
      <w:r w:rsidRPr="005E6541">
        <w:t xml:space="preserve">Ehitusprojekti (eelprojekti) koosseisu </w:t>
      </w:r>
      <w:r w:rsidRPr="00441269">
        <w:t>lisada</w:t>
      </w:r>
      <w:r>
        <w:t xml:space="preserve"> </w:t>
      </w:r>
      <w:r w:rsidRPr="00441269">
        <w:t>piirdeaia fragmendi ja väravate joonised</w:t>
      </w:r>
      <w:r w:rsidRPr="005E6541">
        <w:t>.</w:t>
      </w:r>
    </w:p>
    <w:p w14:paraId="3AA2C2DD" w14:textId="6309982C" w:rsidR="002320DC" w:rsidRPr="00376365" w:rsidRDefault="002320DC" w:rsidP="002320DC">
      <w:pPr>
        <w:pStyle w:val="ListParagraph"/>
        <w:numPr>
          <w:ilvl w:val="0"/>
          <w:numId w:val="9"/>
        </w:numPr>
        <w:suppressAutoHyphens/>
        <w:autoSpaceDN w:val="0"/>
        <w:rPr>
          <w:highlight w:val="yellow"/>
        </w:rPr>
      </w:pPr>
      <w:r w:rsidRPr="00376365">
        <w:rPr>
          <w:highlight w:val="yellow"/>
        </w:rPr>
        <w:t>Projekti koostamisel arvestada Transpordiameti</w:t>
      </w:r>
      <w:r w:rsidR="00197ADD" w:rsidRPr="00376365">
        <w:rPr>
          <w:highlight w:val="yellow"/>
        </w:rPr>
        <w:t xml:space="preserve"> </w:t>
      </w:r>
      <w:r w:rsidRPr="00376365">
        <w:rPr>
          <w:highlight w:val="yellow"/>
        </w:rPr>
        <w:t>.202</w:t>
      </w:r>
      <w:r w:rsidR="007E7A12">
        <w:rPr>
          <w:highlight w:val="yellow"/>
        </w:rPr>
        <w:t>3</w:t>
      </w:r>
      <w:r w:rsidRPr="00376365">
        <w:rPr>
          <w:highlight w:val="yellow"/>
        </w:rPr>
        <w:t xml:space="preserve"> kirjas nr</w:t>
      </w:r>
      <w:r w:rsidR="007767DD" w:rsidRPr="00376365">
        <w:rPr>
          <w:highlight w:val="yellow"/>
        </w:rPr>
        <w:t xml:space="preserve"> </w:t>
      </w:r>
      <w:r w:rsidRPr="00376365">
        <w:rPr>
          <w:highlight w:val="yellow"/>
        </w:rPr>
        <w:t xml:space="preserve">(käesoleva korralduse lisa nr </w:t>
      </w:r>
      <w:r w:rsidR="007E7A12">
        <w:rPr>
          <w:highlight w:val="yellow"/>
        </w:rPr>
        <w:t>2</w:t>
      </w:r>
      <w:r w:rsidRPr="00376365">
        <w:rPr>
          <w:highlight w:val="yellow"/>
        </w:rPr>
        <w:t xml:space="preserve">) esitatud märkustega.  </w:t>
      </w:r>
    </w:p>
    <w:p w14:paraId="06B63984" w14:textId="77777777" w:rsidR="002320DC" w:rsidRDefault="002320DC" w:rsidP="002320DC">
      <w:pPr>
        <w:suppressAutoHyphens/>
        <w:autoSpaceDN w:val="0"/>
        <w:textAlignment w:val="baseline"/>
      </w:pPr>
    </w:p>
    <w:p w14:paraId="7188542E" w14:textId="4B5559CF" w:rsidR="00882953" w:rsidRDefault="00882953" w:rsidP="001A5568">
      <w:pPr>
        <w:suppressAutoHyphens/>
        <w:autoSpaceDN w:val="0"/>
        <w:spacing w:line="244" w:lineRule="auto"/>
        <w:ind w:right="51"/>
        <w:textAlignment w:val="baseline"/>
      </w:pPr>
      <w:r>
        <w:br w:type="page"/>
      </w:r>
    </w:p>
    <w:p w14:paraId="3A39E54F" w14:textId="77777777" w:rsidR="00A61B75" w:rsidRPr="00954663" w:rsidRDefault="00A61B75" w:rsidP="00A61B75"/>
    <w:p w14:paraId="161269BE" w14:textId="77777777" w:rsidR="00A61B75" w:rsidRPr="00954663" w:rsidRDefault="00A61B75" w:rsidP="00A61B75">
      <w:pPr>
        <w:pStyle w:val="Header"/>
        <w:rPr>
          <w:u w:val="single"/>
        </w:rPr>
      </w:pPr>
      <w:r w:rsidRPr="00954663">
        <w:rPr>
          <w:u w:val="single"/>
        </w:rPr>
        <w:t>Nõuded projektide esitamisele:</w:t>
      </w:r>
    </w:p>
    <w:p w14:paraId="575FFB23" w14:textId="77777777" w:rsidR="00A61B75" w:rsidRPr="005E6541" w:rsidRDefault="00A61B75" w:rsidP="00A61B75">
      <w:pPr>
        <w:numPr>
          <w:ilvl w:val="0"/>
          <w:numId w:val="13"/>
        </w:numPr>
        <w:suppressAutoHyphens/>
        <w:autoSpaceDN w:val="0"/>
        <w:textAlignment w:val="baseline"/>
      </w:pPr>
      <w:r w:rsidRPr="005E6541">
        <w:t>Ehitusloa saamiseks esitada ehitusloa taotlus ja/või ehitusteatis koos nõuetekohase projektiga elektrooniliselt ehitisregistri kaudu. Teavet ehitisregistri kasutamise kohta leiab ehitisregistri kodulehelt</w:t>
      </w:r>
      <w:r w:rsidRPr="005E6541">
        <w:rPr>
          <w:rStyle w:val="apple-converted-space"/>
        </w:rPr>
        <w:t> </w:t>
      </w:r>
      <w:hyperlink r:id="rId7" w:history="1">
        <w:r w:rsidRPr="005E6541">
          <w:rPr>
            <w:rStyle w:val="Hyperlink"/>
          </w:rPr>
          <w:t>www.ehr.ee</w:t>
        </w:r>
      </w:hyperlink>
      <w:r w:rsidRPr="005E6541">
        <w:t>. Samast on leitavad ka klienditoe kontaktid. Kuna ehitusseadustikust tulenevalt võib erandjuhul, kui ehitisregistri kaudu esitamine ei ole võimalik, dokumendid esitada ametile ka muul viisil, palume erandjuhtude puhul esitada kogu dokumentatsioon paberkandjal ning lisada põhjendus miks ehitisregistrile esitamine konkreetsel juhul ei ole võimalik.</w:t>
      </w:r>
    </w:p>
    <w:p w14:paraId="18325E2F" w14:textId="77777777" w:rsidR="00A61B75" w:rsidRPr="005E6541" w:rsidRDefault="00A61B75" w:rsidP="00A61B75">
      <w:pPr>
        <w:numPr>
          <w:ilvl w:val="0"/>
          <w:numId w:val="11"/>
        </w:numPr>
        <w:suppressAutoHyphens/>
        <w:autoSpaceDN w:val="0"/>
        <w:textAlignment w:val="baseline"/>
      </w:pPr>
      <w:r w:rsidRPr="005E6541">
        <w:t xml:space="preserve">Nõutavad kooskõlastused\arvamused: 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w:t>
      </w:r>
      <w:r>
        <w:t xml:space="preserve">esitada </w:t>
      </w:r>
      <w:r w:rsidRPr="005E6541">
        <w:t>originaalkooskõlastused Harku Vallavalitsusele pärast vastava taotluse (projekteerimistingimuste taotlus, ehitusteatis, ehitusloa taotlus) ehitisregistrisse esitamist.</w:t>
      </w:r>
    </w:p>
    <w:p w14:paraId="5F53FD33" w14:textId="77777777" w:rsidR="00A61B75" w:rsidRPr="005E6541" w:rsidRDefault="00A61B75" w:rsidP="00A61B75">
      <w:pPr>
        <w:pStyle w:val="NoSpacing"/>
        <w:numPr>
          <w:ilvl w:val="0"/>
          <w:numId w:val="11"/>
        </w:numPr>
        <w:jc w:val="both"/>
        <w:textAlignment w:val="baseline"/>
        <w:rPr>
          <w:u w:val="single"/>
          <w:lang w:val="et-EE"/>
        </w:rPr>
      </w:pPr>
      <w:r w:rsidRPr="005E6541">
        <w:rPr>
          <w:u w:val="single"/>
          <w:lang w:val="et-EE"/>
        </w:rPr>
        <w:t>Projekteerimistingimused ei anna õigust ehitamise alustamiseks. Vastavalt ehitusseadustiku § 38 lõikele 1 annab ehitusluba õiguse ehitada ehitist, mis vastab ehitusloa andmise aluseks olevale ehitusprojektile.</w:t>
      </w:r>
    </w:p>
    <w:p w14:paraId="7733F810" w14:textId="77777777" w:rsidR="00A61B75" w:rsidRDefault="00A61B75" w:rsidP="000A6824">
      <w:pPr>
        <w:ind w:right="-33"/>
        <w:rPr>
          <w:u w:val="single"/>
        </w:rPr>
      </w:pPr>
    </w:p>
    <w:p w14:paraId="6CC466E4" w14:textId="77777777" w:rsidR="00C63910" w:rsidRDefault="00C63910"/>
    <w:sectPr w:rsidR="00C63910" w:rsidSect="00D722CD">
      <w:headerReference w:type="firs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4EBC" w14:textId="77777777" w:rsidR="0069744F" w:rsidRDefault="0069744F" w:rsidP="00EC06C3">
      <w:r>
        <w:separator/>
      </w:r>
    </w:p>
  </w:endnote>
  <w:endnote w:type="continuationSeparator" w:id="0">
    <w:p w14:paraId="4F6602F2" w14:textId="77777777" w:rsidR="0069744F" w:rsidRDefault="0069744F" w:rsidP="00EC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C96C" w14:textId="77777777" w:rsidR="0069744F" w:rsidRDefault="0069744F" w:rsidP="00EC06C3">
      <w:r>
        <w:separator/>
      </w:r>
    </w:p>
  </w:footnote>
  <w:footnote w:type="continuationSeparator" w:id="0">
    <w:p w14:paraId="7585F361" w14:textId="77777777" w:rsidR="0069744F" w:rsidRDefault="0069744F" w:rsidP="00EC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FC28" w14:textId="77777777" w:rsidR="00376365" w:rsidRDefault="00EC06C3" w:rsidP="00EC06C3">
    <w:pPr>
      <w:tabs>
        <w:tab w:val="left" w:pos="6900"/>
        <w:tab w:val="left" w:pos="6946"/>
      </w:tabs>
      <w:jc w:val="right"/>
      <w:rPr>
        <w:noProof/>
        <w:szCs w:val="24"/>
      </w:rPr>
    </w:pPr>
    <w:r w:rsidRPr="00EC06C3">
      <w:rPr>
        <w:noProof/>
        <w:szCs w:val="24"/>
      </w:rPr>
      <w:t>LISA 1</w:t>
    </w:r>
  </w:p>
  <w:p w14:paraId="469C8A0F" w14:textId="77777777" w:rsidR="00EC06C3" w:rsidRDefault="00EC06C3" w:rsidP="00EC06C3">
    <w:pPr>
      <w:tabs>
        <w:tab w:val="left" w:pos="6900"/>
        <w:tab w:val="left" w:pos="6946"/>
      </w:tabs>
      <w:jc w:val="right"/>
      <w:rPr>
        <w:noProof/>
        <w:szCs w:val="24"/>
      </w:rPr>
    </w:pPr>
    <w:r>
      <w:rPr>
        <w:noProof/>
        <w:szCs w:val="24"/>
      </w:rPr>
      <w:t xml:space="preserve">Harku Vallavalitsuse </w:t>
    </w:r>
  </w:p>
  <w:p w14:paraId="7E694147" w14:textId="41F902F7" w:rsidR="00EC06C3" w:rsidRDefault="00376365" w:rsidP="00EC06C3">
    <w:pPr>
      <w:tabs>
        <w:tab w:val="left" w:pos="6900"/>
        <w:tab w:val="left" w:pos="6946"/>
      </w:tabs>
      <w:jc w:val="right"/>
      <w:rPr>
        <w:noProof/>
        <w:szCs w:val="24"/>
      </w:rPr>
    </w:pPr>
    <w:r w:rsidRPr="00376365">
      <w:rPr>
        <w:noProof/>
        <w:szCs w:val="24"/>
        <w:highlight w:val="yellow"/>
      </w:rPr>
      <w:t>11.2023</w:t>
    </w:r>
    <w:r w:rsidR="00EC06C3">
      <w:rPr>
        <w:noProof/>
        <w:szCs w:val="24"/>
      </w:rPr>
      <w:t xml:space="preserve"> korralduse nr</w:t>
    </w:r>
    <w:r w:rsidR="00C726E0">
      <w:rPr>
        <w:noProof/>
        <w:szCs w:val="24"/>
      </w:rPr>
      <w:t xml:space="preserve"> …</w:t>
    </w:r>
  </w:p>
  <w:p w14:paraId="26FA4D36" w14:textId="77777777" w:rsidR="00EC06C3" w:rsidRPr="00EC06C3" w:rsidRDefault="00EC06C3" w:rsidP="00EC06C3">
    <w:pPr>
      <w:tabs>
        <w:tab w:val="left" w:pos="6900"/>
        <w:tab w:val="left" w:pos="6946"/>
      </w:tabs>
      <w:jc w:val="right"/>
      <w:rPr>
        <w:noProof/>
        <w:szCs w:val="24"/>
      </w:rPr>
    </w:pPr>
    <w:r>
      <w:rPr>
        <w:noProof/>
        <w:szCs w:val="24"/>
      </w:rPr>
      <w:t>juurde</w:t>
    </w:r>
  </w:p>
  <w:p w14:paraId="6B70D360" w14:textId="77777777" w:rsidR="00EC06C3" w:rsidRPr="00EC06C3" w:rsidRDefault="00EC06C3" w:rsidP="00EC06C3">
    <w:pPr>
      <w:tabs>
        <w:tab w:val="left" w:pos="6900"/>
        <w:tab w:val="left" w:pos="6946"/>
      </w:tabs>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3C8"/>
    <w:multiLevelType w:val="hybridMultilevel"/>
    <w:tmpl w:val="D63A06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8C81EF0"/>
    <w:multiLevelType w:val="hybridMultilevel"/>
    <w:tmpl w:val="53009B8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 w15:restartNumberingAfterBreak="0">
    <w:nsid w:val="09D56766"/>
    <w:multiLevelType w:val="hybridMultilevel"/>
    <w:tmpl w:val="9868757E"/>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4" w15:restartNumberingAfterBreak="0">
    <w:nsid w:val="0AC96819"/>
    <w:multiLevelType w:val="multilevel"/>
    <w:tmpl w:val="2C7AABC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33F45B78"/>
    <w:multiLevelType w:val="hybridMultilevel"/>
    <w:tmpl w:val="E03E24FA"/>
    <w:lvl w:ilvl="0" w:tplc="B41C12FC">
      <w:start w:val="2"/>
      <w:numFmt w:val="decimal"/>
      <w:lvlText w:val="%1."/>
      <w:lvlJc w:val="left"/>
      <w:pPr>
        <w:ind w:left="360" w:hanging="360"/>
      </w:pPr>
      <w:rPr>
        <w:rFonts w:ascii="TimesNewRomanPSMT" w:hAnsi="TimesNewRomanPSMT" w:hint="default"/>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451508C5"/>
    <w:multiLevelType w:val="hybridMultilevel"/>
    <w:tmpl w:val="58B69448"/>
    <w:lvl w:ilvl="0" w:tplc="B41C12FC">
      <w:start w:val="2"/>
      <w:numFmt w:val="decimal"/>
      <w:lvlText w:val="%1."/>
      <w:lvlJc w:val="left"/>
      <w:pPr>
        <w:ind w:left="360" w:hanging="360"/>
      </w:pPr>
      <w:rPr>
        <w:rFonts w:ascii="TimesNewRomanPSMT" w:hAnsi="TimesNewRomanPSMT"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5D25F95"/>
    <w:multiLevelType w:val="hybridMultilevel"/>
    <w:tmpl w:val="5BD2F5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675422B"/>
    <w:multiLevelType w:val="multilevel"/>
    <w:tmpl w:val="69C67230"/>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9"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BDB3300"/>
    <w:multiLevelType w:val="multilevel"/>
    <w:tmpl w:val="7D5A78B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60D05640"/>
    <w:multiLevelType w:val="hybridMultilevel"/>
    <w:tmpl w:val="E62A73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6A627DE2"/>
    <w:multiLevelType w:val="hybridMultilevel"/>
    <w:tmpl w:val="550C0A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73509702">
    <w:abstractNumId w:val="4"/>
  </w:num>
  <w:num w:numId="2" w16cid:durableId="2101096229">
    <w:abstractNumId w:val="4"/>
  </w:num>
  <w:num w:numId="3" w16cid:durableId="1106193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659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537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06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055819">
    <w:abstractNumId w:val="3"/>
  </w:num>
  <w:num w:numId="8" w16cid:durableId="1399400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3038507">
    <w:abstractNumId w:val="8"/>
  </w:num>
  <w:num w:numId="10" w16cid:durableId="1535540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8808348">
    <w:abstractNumId w:val="10"/>
  </w:num>
  <w:num w:numId="12" w16cid:durableId="240406842">
    <w:abstractNumId w:val="8"/>
    <w:lvlOverride w:ilvl="0">
      <w:startOverride w:val="1"/>
    </w:lvlOverride>
  </w:num>
  <w:num w:numId="13" w16cid:durableId="668212808">
    <w:abstractNumId w:val="10"/>
    <w:lvlOverride w:ilvl="0">
      <w:startOverride w:val="1"/>
    </w:lvlOverride>
  </w:num>
  <w:num w:numId="14" w16cid:durableId="1590189937">
    <w:abstractNumId w:val="3"/>
  </w:num>
  <w:num w:numId="15" w16cid:durableId="1876847832">
    <w:abstractNumId w:val="0"/>
  </w:num>
  <w:num w:numId="16" w16cid:durableId="1264606271">
    <w:abstractNumId w:val="13"/>
  </w:num>
  <w:num w:numId="17" w16cid:durableId="369575415">
    <w:abstractNumId w:val="11"/>
  </w:num>
  <w:num w:numId="18" w16cid:durableId="276914320">
    <w:abstractNumId w:val="7"/>
  </w:num>
  <w:num w:numId="19" w16cid:durableId="1024019156">
    <w:abstractNumId w:val="5"/>
  </w:num>
  <w:num w:numId="20" w16cid:durableId="875586117">
    <w:abstractNumId w:val="6"/>
  </w:num>
  <w:num w:numId="21" w16cid:durableId="979194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0484B"/>
    <w:rsid w:val="0003261F"/>
    <w:rsid w:val="00060170"/>
    <w:rsid w:val="000A6824"/>
    <w:rsid w:val="001074F7"/>
    <w:rsid w:val="001138EC"/>
    <w:rsid w:val="0015188F"/>
    <w:rsid w:val="00171F02"/>
    <w:rsid w:val="00197ADD"/>
    <w:rsid w:val="001A5568"/>
    <w:rsid w:val="001B7751"/>
    <w:rsid w:val="002320DC"/>
    <w:rsid w:val="002C0BED"/>
    <w:rsid w:val="0035057B"/>
    <w:rsid w:val="00362593"/>
    <w:rsid w:val="00364E27"/>
    <w:rsid w:val="0037446E"/>
    <w:rsid w:val="00376365"/>
    <w:rsid w:val="003877AB"/>
    <w:rsid w:val="003A2FE2"/>
    <w:rsid w:val="00402EB9"/>
    <w:rsid w:val="004106A2"/>
    <w:rsid w:val="00415304"/>
    <w:rsid w:val="00471831"/>
    <w:rsid w:val="004C2D72"/>
    <w:rsid w:val="004D0E52"/>
    <w:rsid w:val="004D56B0"/>
    <w:rsid w:val="005242F4"/>
    <w:rsid w:val="00561B5A"/>
    <w:rsid w:val="00570D03"/>
    <w:rsid w:val="005C2ACD"/>
    <w:rsid w:val="005D1448"/>
    <w:rsid w:val="005F3A12"/>
    <w:rsid w:val="006233E9"/>
    <w:rsid w:val="00654B6B"/>
    <w:rsid w:val="00661633"/>
    <w:rsid w:val="0069744F"/>
    <w:rsid w:val="006C7F07"/>
    <w:rsid w:val="006F433C"/>
    <w:rsid w:val="007008FE"/>
    <w:rsid w:val="00726CE4"/>
    <w:rsid w:val="007600E4"/>
    <w:rsid w:val="00764614"/>
    <w:rsid w:val="007767DD"/>
    <w:rsid w:val="007E183F"/>
    <w:rsid w:val="007E7A12"/>
    <w:rsid w:val="008543F8"/>
    <w:rsid w:val="00882953"/>
    <w:rsid w:val="008F334F"/>
    <w:rsid w:val="00910ED6"/>
    <w:rsid w:val="00922B2D"/>
    <w:rsid w:val="009623DE"/>
    <w:rsid w:val="009A62E2"/>
    <w:rsid w:val="00A100D7"/>
    <w:rsid w:val="00A27211"/>
    <w:rsid w:val="00A36A61"/>
    <w:rsid w:val="00A40CA4"/>
    <w:rsid w:val="00A61B75"/>
    <w:rsid w:val="00A973B9"/>
    <w:rsid w:val="00AB6890"/>
    <w:rsid w:val="00B215CE"/>
    <w:rsid w:val="00BC075E"/>
    <w:rsid w:val="00BD11EE"/>
    <w:rsid w:val="00C25E01"/>
    <w:rsid w:val="00C37F86"/>
    <w:rsid w:val="00C6047D"/>
    <w:rsid w:val="00C63910"/>
    <w:rsid w:val="00C726E0"/>
    <w:rsid w:val="00CA32D6"/>
    <w:rsid w:val="00CB543E"/>
    <w:rsid w:val="00D34C91"/>
    <w:rsid w:val="00D428B2"/>
    <w:rsid w:val="00D429D9"/>
    <w:rsid w:val="00D71953"/>
    <w:rsid w:val="00D73E3E"/>
    <w:rsid w:val="00D931ED"/>
    <w:rsid w:val="00DA5906"/>
    <w:rsid w:val="00E16DEC"/>
    <w:rsid w:val="00E37DFE"/>
    <w:rsid w:val="00E525C5"/>
    <w:rsid w:val="00E8291F"/>
    <w:rsid w:val="00E83A9A"/>
    <w:rsid w:val="00E85E3D"/>
    <w:rsid w:val="00EC06C3"/>
    <w:rsid w:val="00ED5086"/>
    <w:rsid w:val="00F40671"/>
    <w:rsid w:val="00F50C79"/>
    <w:rsid w:val="00F5648D"/>
    <w:rsid w:val="00F963BD"/>
    <w:rsid w:val="00FA09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CD6"/>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24"/>
    <w:pPr>
      <w:spacing w:after="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pPr>
  </w:style>
  <w:style w:type="character" w:customStyle="1" w:styleId="FooterChar">
    <w:name w:val="Footer Char"/>
    <w:basedOn w:val="DefaultParagraphFont"/>
    <w:link w:val="Footer"/>
    <w:uiPriority w:val="99"/>
    <w:rsid w:val="00EC06C3"/>
  </w:style>
  <w:style w:type="paragraph" w:styleId="NoSpacing">
    <w:name w:val="No Spacing"/>
    <w:uiPriority w:val="1"/>
    <w:qFormat/>
    <w:rsid w:val="00C25E01"/>
    <w:pPr>
      <w:suppressAutoHyphens/>
      <w:autoSpaceDN w:val="0"/>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62593"/>
    <w:pPr>
      <w:ind w:left="720"/>
      <w:contextualSpacing/>
    </w:pPr>
  </w:style>
  <w:style w:type="character" w:styleId="Hyperlink">
    <w:name w:val="Hyperlink"/>
    <w:basedOn w:val="DefaultParagraphFont"/>
    <w:uiPriority w:val="99"/>
    <w:semiHidden/>
    <w:unhideWhenUsed/>
    <w:rsid w:val="000A6824"/>
    <w:rPr>
      <w:rFonts w:ascii="Times New Roman" w:hAnsi="Times New Roman" w:cs="Times New Roman" w:hint="default"/>
      <w:color w:val="0000FF"/>
      <w:u w:val="single"/>
    </w:rPr>
  </w:style>
  <w:style w:type="character" w:customStyle="1" w:styleId="apple-converted-space">
    <w:name w:val="apple-converted-space"/>
    <w:rsid w:val="000A6824"/>
  </w:style>
  <w:style w:type="character" w:customStyle="1" w:styleId="fontstyle01">
    <w:name w:val="fontstyle01"/>
    <w:basedOn w:val="DefaultParagraphFont"/>
    <w:rsid w:val="004D56B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8615">
      <w:bodyDiv w:val="1"/>
      <w:marLeft w:val="0"/>
      <w:marRight w:val="0"/>
      <w:marTop w:val="0"/>
      <w:marBottom w:val="0"/>
      <w:divBdr>
        <w:top w:val="none" w:sz="0" w:space="0" w:color="auto"/>
        <w:left w:val="none" w:sz="0" w:space="0" w:color="auto"/>
        <w:bottom w:val="none" w:sz="0" w:space="0" w:color="auto"/>
        <w:right w:val="none" w:sz="0" w:space="0" w:color="auto"/>
      </w:divBdr>
    </w:div>
    <w:div w:id="880172236">
      <w:bodyDiv w:val="1"/>
      <w:marLeft w:val="0"/>
      <w:marRight w:val="0"/>
      <w:marTop w:val="0"/>
      <w:marBottom w:val="0"/>
      <w:divBdr>
        <w:top w:val="none" w:sz="0" w:space="0" w:color="auto"/>
        <w:left w:val="none" w:sz="0" w:space="0" w:color="auto"/>
        <w:bottom w:val="none" w:sz="0" w:space="0" w:color="auto"/>
        <w:right w:val="none" w:sz="0" w:space="0" w:color="auto"/>
      </w:divBdr>
    </w:div>
    <w:div w:id="1502161393">
      <w:bodyDiv w:val="1"/>
      <w:marLeft w:val="0"/>
      <w:marRight w:val="0"/>
      <w:marTop w:val="0"/>
      <w:marBottom w:val="0"/>
      <w:divBdr>
        <w:top w:val="none" w:sz="0" w:space="0" w:color="auto"/>
        <w:left w:val="none" w:sz="0" w:space="0" w:color="auto"/>
        <w:bottom w:val="none" w:sz="0" w:space="0" w:color="auto"/>
        <w:right w:val="none" w:sz="0" w:space="0" w:color="auto"/>
      </w:divBdr>
    </w:div>
    <w:div w:id="1531183136">
      <w:bodyDiv w:val="1"/>
      <w:marLeft w:val="0"/>
      <w:marRight w:val="0"/>
      <w:marTop w:val="0"/>
      <w:marBottom w:val="0"/>
      <w:divBdr>
        <w:top w:val="none" w:sz="0" w:space="0" w:color="auto"/>
        <w:left w:val="none" w:sz="0" w:space="0" w:color="auto"/>
        <w:bottom w:val="none" w:sz="0" w:space="0" w:color="auto"/>
        <w:right w:val="none" w:sz="0" w:space="0" w:color="auto"/>
      </w:divBdr>
    </w:div>
    <w:div w:id="164227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h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5</cp:revision>
  <dcterms:created xsi:type="dcterms:W3CDTF">2023-11-07T12:13:00Z</dcterms:created>
  <dcterms:modified xsi:type="dcterms:W3CDTF">2023-11-13T07:38:00Z</dcterms:modified>
</cp:coreProperties>
</file>